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bookmarkStart w:id="1" w:name="_GoBack"/>
      <w:bookmarkEnd w:id="1"/>
      <w:r>
        <w:rPr>
          <w:rFonts w:hint="eastAsia" w:ascii="华文中宋" w:hAnsi="华文中宋" w:eastAsia="华文中宋"/>
          <w:bCs/>
          <w:sz w:val="44"/>
          <w:szCs w:val="44"/>
        </w:rPr>
        <w:t>标的物介绍</w:t>
      </w:r>
    </w:p>
    <w:p w14:paraId="4CDA034A">
      <w:pPr>
        <w:rPr>
          <w:rFonts w:hint="eastAsia" w:ascii="黑体" w:hAnsi="黑体" w:eastAsia="黑体"/>
          <w:sz w:val="32"/>
          <w:szCs w:val="32"/>
        </w:rPr>
      </w:pPr>
      <w:r>
        <w:rPr>
          <w:rFonts w:hint="eastAsia" w:ascii="黑体" w:hAnsi="黑体" w:eastAsia="黑体"/>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 xml:space="preserve"> 湛江市云广贸易有限公司系列3户债权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2025年7月15日</w:t>
      </w:r>
      <w:r>
        <w:rPr>
          <w:rFonts w:ascii="仿宋" w:hAnsi="仿宋" w:eastAsia="仿宋"/>
          <w:sz w:val="28"/>
          <w:szCs w:val="24"/>
        </w:rPr>
        <w:t>，</w:t>
      </w:r>
      <w:r>
        <w:rPr>
          <w:rFonts w:hint="eastAsia" w:ascii="仿宋" w:hAnsi="仿宋" w:eastAsia="仿宋"/>
          <w:sz w:val="28"/>
          <w:szCs w:val="24"/>
        </w:rPr>
        <w:t>标的债权本金合计</w:t>
      </w:r>
      <w:r>
        <w:rPr>
          <w:rFonts w:hint="eastAsia" w:ascii="仿宋" w:hAnsi="仿宋" w:eastAsia="仿宋" w:cs="仿宋"/>
          <w:kern w:val="0"/>
          <w:sz w:val="28"/>
          <w:szCs w:val="28"/>
          <w:u w:val="single"/>
          <w:shd w:val="clear" w:color="auto" w:fill="FFFFFF"/>
          <w:lang w:bidi="ar"/>
        </w:rPr>
        <w:t>31,375.99</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12"/>
        <w:tblW w:w="63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79"/>
        <w:gridCol w:w="1161"/>
        <w:gridCol w:w="1189"/>
        <w:gridCol w:w="914"/>
        <w:gridCol w:w="1409"/>
        <w:gridCol w:w="2404"/>
        <w:gridCol w:w="1725"/>
        <w:gridCol w:w="919"/>
      </w:tblGrid>
      <w:tr w14:paraId="08C81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4" w:hRule="atLeast"/>
          <w:tblHeader/>
          <w:jc w:val="center"/>
        </w:trPr>
        <w:tc>
          <w:tcPr>
            <w:tcW w:w="499" w:type="pct"/>
            <w:shd w:val="clear" w:color="auto" w:fill="FFFFFF"/>
            <w:vAlign w:val="center"/>
          </w:tcPr>
          <w:p w14:paraId="02CCEFAC">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借款人名称</w:t>
            </w:r>
          </w:p>
        </w:tc>
        <w:tc>
          <w:tcPr>
            <w:tcW w:w="537" w:type="pct"/>
            <w:tcBorders>
              <w:bottom w:val="single" w:color="auto" w:sz="4" w:space="0"/>
            </w:tcBorders>
            <w:shd w:val="clear" w:color="auto" w:fill="FFFFFF"/>
            <w:vAlign w:val="center"/>
          </w:tcPr>
          <w:p w14:paraId="046383D0">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本金</w:t>
            </w:r>
          </w:p>
        </w:tc>
        <w:tc>
          <w:tcPr>
            <w:tcW w:w="550" w:type="pct"/>
            <w:tcBorders>
              <w:bottom w:val="single" w:color="auto" w:sz="4" w:space="0"/>
            </w:tcBorders>
            <w:shd w:val="clear" w:color="auto" w:fill="FFFFFF"/>
            <w:vAlign w:val="center"/>
          </w:tcPr>
          <w:p w14:paraId="7DB9AFBE">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利息</w:t>
            </w:r>
            <w:r>
              <w:rPr>
                <w:rFonts w:hint="eastAsia" w:ascii="仿宋" w:hAnsi="仿宋" w:eastAsia="仿宋" w:cs="仿宋"/>
                <w:b/>
                <w:bCs/>
                <w:sz w:val="21"/>
                <w:szCs w:val="21"/>
                <w:highlight w:val="none"/>
                <w:lang w:eastAsia="zh-CN"/>
              </w:rPr>
              <w:t>（</w:t>
            </w:r>
            <w:r>
              <w:rPr>
                <w:rFonts w:hint="eastAsia" w:ascii="仿宋" w:hAnsi="仿宋" w:eastAsia="仿宋" w:cs="仿宋"/>
                <w:b/>
                <w:bCs/>
                <w:sz w:val="21"/>
                <w:szCs w:val="21"/>
                <w:highlight w:val="none"/>
                <w:lang w:val="en-US" w:eastAsia="zh-CN"/>
              </w:rPr>
              <w:t>包含罚息、复利、迟延履行利息</w:t>
            </w:r>
            <w:r>
              <w:rPr>
                <w:rFonts w:hint="eastAsia" w:ascii="仿宋" w:hAnsi="仿宋" w:eastAsia="仿宋" w:cs="仿宋"/>
                <w:b/>
                <w:bCs/>
                <w:sz w:val="21"/>
                <w:szCs w:val="21"/>
                <w:highlight w:val="none"/>
                <w:lang w:eastAsia="zh-CN"/>
              </w:rPr>
              <w:t>）</w:t>
            </w:r>
          </w:p>
        </w:tc>
        <w:tc>
          <w:tcPr>
            <w:tcW w:w="423" w:type="pct"/>
            <w:tcBorders>
              <w:bottom w:val="single" w:color="auto" w:sz="4" w:space="0"/>
            </w:tcBorders>
            <w:shd w:val="clear" w:color="auto" w:fill="FFFFFF"/>
            <w:vAlign w:val="center"/>
          </w:tcPr>
          <w:p w14:paraId="39C53AD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其他费用</w:t>
            </w:r>
          </w:p>
        </w:tc>
        <w:tc>
          <w:tcPr>
            <w:tcW w:w="652" w:type="pct"/>
            <w:tcBorders>
              <w:bottom w:val="single" w:color="auto" w:sz="4" w:space="0"/>
            </w:tcBorders>
            <w:shd w:val="clear" w:color="auto" w:fill="FFFFFF"/>
            <w:vAlign w:val="center"/>
          </w:tcPr>
          <w:p w14:paraId="0E694188">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债权</w:t>
            </w:r>
          </w:p>
          <w:p w14:paraId="38940CCD">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金额</w:t>
            </w:r>
          </w:p>
        </w:tc>
        <w:tc>
          <w:tcPr>
            <w:tcW w:w="1112" w:type="pct"/>
            <w:shd w:val="clear" w:color="auto" w:fill="FFFFFF"/>
            <w:vAlign w:val="center"/>
          </w:tcPr>
          <w:p w14:paraId="2836D918">
            <w:pPr>
              <w:jc w:val="center"/>
              <w:rPr>
                <w:rFonts w:hint="eastAsia" w:ascii="仿宋" w:hAnsi="仿宋" w:eastAsia="仿宋" w:cs="Times New Roman"/>
                <w:b/>
                <w:szCs w:val="21"/>
              </w:rPr>
            </w:pPr>
            <w:r>
              <w:rPr>
                <w:rFonts w:hint="eastAsia" w:ascii="仿宋" w:hAnsi="仿宋" w:eastAsia="仿宋" w:cs="Times New Roman"/>
                <w:b/>
                <w:szCs w:val="21"/>
              </w:rPr>
              <w:t>抵质押物情况</w:t>
            </w:r>
          </w:p>
        </w:tc>
        <w:tc>
          <w:tcPr>
            <w:tcW w:w="798" w:type="pct"/>
            <w:shd w:val="clear" w:color="auto" w:fill="FFFFFF"/>
            <w:vAlign w:val="center"/>
          </w:tcPr>
          <w:p w14:paraId="023347E4">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425" w:type="pct"/>
            <w:shd w:val="clear" w:color="auto" w:fill="FFFFFF"/>
            <w:vAlign w:val="center"/>
          </w:tcPr>
          <w:p w14:paraId="0DBDEF08">
            <w:pPr>
              <w:jc w:val="center"/>
              <w:rPr>
                <w:rFonts w:hint="eastAsia" w:ascii="仿宋" w:hAnsi="仿宋" w:eastAsia="仿宋" w:cs="Times New Roman"/>
                <w:b/>
                <w:szCs w:val="21"/>
              </w:rPr>
            </w:pPr>
            <w:r>
              <w:rPr>
                <w:rFonts w:hint="eastAsia" w:ascii="仿宋" w:hAnsi="仿宋" w:eastAsia="仿宋" w:cs="Times New Roman"/>
                <w:b/>
                <w:szCs w:val="21"/>
              </w:rPr>
              <w:t>诉讼</w:t>
            </w:r>
          </w:p>
          <w:p w14:paraId="26D2FAC2">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03459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499" w:type="pct"/>
            <w:shd w:val="clear" w:color="auto" w:fill="FFFFFF"/>
            <w:vAlign w:val="center"/>
          </w:tcPr>
          <w:p w14:paraId="0DEEC3C8">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广州市升阳贸易有限公司</w:t>
            </w:r>
          </w:p>
        </w:tc>
        <w:tc>
          <w:tcPr>
            <w:tcW w:w="537" w:type="pct"/>
            <w:tcBorders>
              <w:top w:val="single" w:color="auto" w:sz="4" w:space="0"/>
              <w:left w:val="nil"/>
              <w:bottom w:val="single" w:color="auto" w:sz="4" w:space="0"/>
              <w:right w:val="single" w:color="auto" w:sz="4" w:space="0"/>
            </w:tcBorders>
            <w:shd w:val="clear" w:color="auto" w:fill="auto"/>
            <w:vAlign w:val="center"/>
          </w:tcPr>
          <w:p w14:paraId="32D487AE">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14,734.00</w:t>
            </w:r>
          </w:p>
        </w:tc>
        <w:tc>
          <w:tcPr>
            <w:tcW w:w="550" w:type="pct"/>
            <w:tcBorders>
              <w:top w:val="single" w:color="auto" w:sz="4" w:space="0"/>
              <w:left w:val="single" w:color="auto" w:sz="4" w:space="0"/>
              <w:bottom w:val="single" w:color="auto" w:sz="4" w:space="0"/>
              <w:right w:val="single" w:color="auto" w:sz="4" w:space="0"/>
            </w:tcBorders>
            <w:shd w:val="clear" w:color="auto" w:fill="auto"/>
            <w:vAlign w:val="center"/>
          </w:tcPr>
          <w:p w14:paraId="0FF751A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22,816.13</w:t>
            </w:r>
          </w:p>
        </w:tc>
        <w:tc>
          <w:tcPr>
            <w:tcW w:w="423" w:type="pct"/>
            <w:tcBorders>
              <w:top w:val="single" w:color="auto" w:sz="4" w:space="0"/>
              <w:left w:val="single" w:color="auto" w:sz="4" w:space="0"/>
              <w:bottom w:val="single" w:color="auto" w:sz="4" w:space="0"/>
              <w:right w:val="nil"/>
            </w:tcBorders>
            <w:shd w:val="clear" w:color="auto" w:fill="auto"/>
            <w:vAlign w:val="center"/>
          </w:tcPr>
          <w:p w14:paraId="4565EA3F">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153.28</w:t>
            </w:r>
          </w:p>
        </w:tc>
        <w:tc>
          <w:tcPr>
            <w:tcW w:w="652" w:type="pct"/>
            <w:tcBorders>
              <w:top w:val="single" w:color="auto" w:sz="4" w:space="0"/>
              <w:left w:val="single" w:color="auto" w:sz="4" w:space="0"/>
              <w:bottom w:val="single" w:color="auto" w:sz="4" w:space="0"/>
              <w:right w:val="nil"/>
            </w:tcBorders>
            <w:shd w:val="clear" w:color="auto" w:fill="auto"/>
            <w:vAlign w:val="center"/>
          </w:tcPr>
          <w:p w14:paraId="447B9AF4">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3,7703.41</w:t>
            </w:r>
          </w:p>
        </w:tc>
        <w:tc>
          <w:tcPr>
            <w:tcW w:w="1112" w:type="pct"/>
            <w:tcBorders>
              <w:top w:val="single" w:color="auto" w:sz="4" w:space="0"/>
              <w:left w:val="single" w:color="auto" w:sz="4" w:space="0"/>
              <w:bottom w:val="single" w:color="auto" w:sz="4" w:space="0"/>
              <w:right w:val="single" w:color="auto" w:sz="4" w:space="0"/>
            </w:tcBorders>
            <w:shd w:val="clear" w:color="auto" w:fill="auto"/>
            <w:vAlign w:val="center"/>
          </w:tcPr>
          <w:p w14:paraId="7EFA5957">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rPr>
              <w:t>位于湛江市东海岛民安镇西湾村十宗工业用地合计</w:t>
            </w:r>
            <w:r>
              <w:rPr>
                <w:rFonts w:hint="eastAsia" w:ascii="仿宋" w:hAnsi="仿宋" w:eastAsia="仿宋" w:cs="仿宋"/>
                <w:sz w:val="21"/>
                <w:szCs w:val="21"/>
                <w:highlight w:val="none"/>
                <w:lang w:val="en-US" w:eastAsia="zh-CN"/>
              </w:rPr>
              <w:t>835,434.60</w:t>
            </w:r>
            <w:r>
              <w:rPr>
                <w:rFonts w:hint="eastAsia" w:ascii="仿宋" w:hAnsi="仿宋" w:eastAsia="仿宋" w:cs="仿宋"/>
                <w:sz w:val="21"/>
                <w:szCs w:val="21"/>
                <w:highlight w:val="none"/>
              </w:rPr>
              <w:t>平方米的土地使用权；</w:t>
            </w:r>
          </w:p>
        </w:tc>
        <w:tc>
          <w:tcPr>
            <w:tcW w:w="798" w:type="pct"/>
            <w:tcBorders>
              <w:top w:val="single" w:color="auto" w:sz="4" w:space="0"/>
              <w:left w:val="nil"/>
              <w:bottom w:val="single" w:color="auto" w:sz="4" w:space="0"/>
              <w:right w:val="single" w:color="auto" w:sz="4" w:space="0"/>
            </w:tcBorders>
            <w:shd w:val="clear" w:color="auto" w:fill="auto"/>
            <w:vAlign w:val="center"/>
          </w:tcPr>
          <w:p w14:paraId="3C604B66">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廖洪德</w:t>
            </w:r>
          </w:p>
        </w:tc>
        <w:tc>
          <w:tcPr>
            <w:tcW w:w="425" w:type="pct"/>
            <w:tcBorders>
              <w:top w:val="single" w:color="auto" w:sz="4" w:space="0"/>
              <w:left w:val="nil"/>
              <w:bottom w:val="single" w:color="auto" w:sz="4" w:space="0"/>
              <w:right w:val="single" w:color="auto" w:sz="4" w:space="0"/>
            </w:tcBorders>
            <w:shd w:val="clear" w:color="auto" w:fill="auto"/>
            <w:vAlign w:val="center"/>
          </w:tcPr>
          <w:p w14:paraId="44039626">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064E6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499" w:type="pct"/>
            <w:shd w:val="clear" w:color="auto" w:fill="FFFFFF"/>
            <w:vAlign w:val="center"/>
          </w:tcPr>
          <w:p w14:paraId="1BC6D7F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广州市源润森实业有限公司</w:t>
            </w:r>
          </w:p>
        </w:tc>
        <w:tc>
          <w:tcPr>
            <w:tcW w:w="537" w:type="pct"/>
            <w:tcBorders>
              <w:top w:val="single" w:color="auto" w:sz="4" w:space="0"/>
              <w:left w:val="nil"/>
              <w:bottom w:val="single" w:color="auto" w:sz="4" w:space="0"/>
              <w:right w:val="single" w:color="auto" w:sz="4" w:space="0"/>
            </w:tcBorders>
            <w:shd w:val="clear" w:color="auto" w:fill="auto"/>
            <w:vAlign w:val="center"/>
          </w:tcPr>
          <w:p w14:paraId="71D26F16">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133,05.99</w:t>
            </w:r>
          </w:p>
        </w:tc>
        <w:tc>
          <w:tcPr>
            <w:tcW w:w="550" w:type="pct"/>
            <w:tcBorders>
              <w:top w:val="single" w:color="auto" w:sz="4" w:space="0"/>
              <w:left w:val="single" w:color="auto" w:sz="4" w:space="0"/>
              <w:bottom w:val="single" w:color="auto" w:sz="4" w:space="0"/>
              <w:right w:val="single" w:color="auto" w:sz="4" w:space="0"/>
            </w:tcBorders>
            <w:shd w:val="clear" w:color="auto" w:fill="auto"/>
            <w:vAlign w:val="center"/>
          </w:tcPr>
          <w:p w14:paraId="094D6EC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21,259.10</w:t>
            </w:r>
          </w:p>
        </w:tc>
        <w:tc>
          <w:tcPr>
            <w:tcW w:w="423" w:type="pct"/>
            <w:tcBorders>
              <w:top w:val="single" w:color="auto" w:sz="4" w:space="0"/>
              <w:left w:val="single" w:color="auto" w:sz="4" w:space="0"/>
              <w:bottom w:val="single" w:color="auto" w:sz="4" w:space="0"/>
              <w:right w:val="nil"/>
            </w:tcBorders>
            <w:shd w:val="clear" w:color="auto" w:fill="auto"/>
            <w:vAlign w:val="center"/>
          </w:tcPr>
          <w:p w14:paraId="66F22A11">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143.71</w:t>
            </w:r>
          </w:p>
        </w:tc>
        <w:tc>
          <w:tcPr>
            <w:tcW w:w="652" w:type="pct"/>
            <w:tcBorders>
              <w:top w:val="single" w:color="auto" w:sz="4" w:space="0"/>
              <w:left w:val="single" w:color="auto" w:sz="4" w:space="0"/>
              <w:bottom w:val="single" w:color="auto" w:sz="4" w:space="0"/>
              <w:right w:val="nil"/>
            </w:tcBorders>
            <w:shd w:val="clear" w:color="auto" w:fill="auto"/>
            <w:vAlign w:val="center"/>
          </w:tcPr>
          <w:p w14:paraId="4E9CE8FE">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345,800.03</w:t>
            </w:r>
          </w:p>
        </w:tc>
        <w:tc>
          <w:tcPr>
            <w:tcW w:w="1112" w:type="pct"/>
            <w:tcBorders>
              <w:top w:val="single" w:color="auto" w:sz="4" w:space="0"/>
              <w:left w:val="single" w:color="auto" w:sz="4" w:space="0"/>
              <w:bottom w:val="single" w:color="auto" w:sz="4" w:space="0"/>
              <w:right w:val="single" w:color="auto" w:sz="4" w:space="0"/>
            </w:tcBorders>
            <w:shd w:val="clear" w:color="auto" w:fill="auto"/>
            <w:vAlign w:val="center"/>
          </w:tcPr>
          <w:p w14:paraId="78BBC67A">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rPr>
              <w:t>位于湛江市东海岛民安镇西湾村十一宗工业用地合计876,166.6平方米的土地使用权；</w:t>
            </w:r>
          </w:p>
        </w:tc>
        <w:tc>
          <w:tcPr>
            <w:tcW w:w="798" w:type="pct"/>
            <w:tcBorders>
              <w:top w:val="single" w:color="auto" w:sz="4" w:space="0"/>
              <w:left w:val="nil"/>
              <w:bottom w:val="single" w:color="auto" w:sz="4" w:space="0"/>
              <w:right w:val="single" w:color="auto" w:sz="4" w:space="0"/>
            </w:tcBorders>
            <w:shd w:val="clear" w:color="auto" w:fill="auto"/>
            <w:vAlign w:val="center"/>
          </w:tcPr>
          <w:p w14:paraId="226F1AEE">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廖洪德</w:t>
            </w:r>
          </w:p>
        </w:tc>
        <w:tc>
          <w:tcPr>
            <w:tcW w:w="425" w:type="pct"/>
            <w:tcBorders>
              <w:top w:val="single" w:color="auto" w:sz="4" w:space="0"/>
              <w:left w:val="nil"/>
              <w:bottom w:val="single" w:color="auto" w:sz="4" w:space="0"/>
              <w:right w:val="single" w:color="auto" w:sz="4" w:space="0"/>
            </w:tcBorders>
            <w:shd w:val="clear" w:color="auto" w:fill="auto"/>
            <w:vAlign w:val="center"/>
          </w:tcPr>
          <w:p w14:paraId="05A1F91D">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4742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499" w:type="pct"/>
            <w:shd w:val="clear" w:color="auto" w:fill="FFFFFF"/>
            <w:vAlign w:val="center"/>
          </w:tcPr>
          <w:p w14:paraId="47D90C0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湛江市云广贸易有限公司</w:t>
            </w:r>
          </w:p>
        </w:tc>
        <w:tc>
          <w:tcPr>
            <w:tcW w:w="537" w:type="pct"/>
            <w:tcBorders>
              <w:top w:val="single" w:color="auto" w:sz="4" w:space="0"/>
              <w:left w:val="nil"/>
              <w:bottom w:val="single" w:color="auto" w:sz="4" w:space="0"/>
              <w:right w:val="single" w:color="auto" w:sz="4" w:space="0"/>
            </w:tcBorders>
            <w:shd w:val="clear" w:color="auto" w:fill="auto"/>
            <w:vAlign w:val="center"/>
          </w:tcPr>
          <w:p w14:paraId="0E913CA2">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3,336.00</w:t>
            </w:r>
          </w:p>
        </w:tc>
        <w:tc>
          <w:tcPr>
            <w:tcW w:w="550" w:type="pct"/>
            <w:tcBorders>
              <w:top w:val="single" w:color="auto" w:sz="4" w:space="0"/>
              <w:left w:val="single" w:color="auto" w:sz="4" w:space="0"/>
              <w:bottom w:val="single" w:color="auto" w:sz="4" w:space="0"/>
              <w:right w:val="single" w:color="auto" w:sz="4" w:space="0"/>
            </w:tcBorders>
            <w:shd w:val="clear" w:color="auto" w:fill="auto"/>
            <w:vAlign w:val="center"/>
          </w:tcPr>
          <w:p w14:paraId="6815454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9,088.00</w:t>
            </w:r>
          </w:p>
        </w:tc>
        <w:tc>
          <w:tcPr>
            <w:tcW w:w="423" w:type="pct"/>
            <w:tcBorders>
              <w:top w:val="single" w:color="auto" w:sz="4" w:space="0"/>
              <w:left w:val="single" w:color="auto" w:sz="4" w:space="0"/>
              <w:bottom w:val="single" w:color="auto" w:sz="4" w:space="0"/>
              <w:right w:val="nil"/>
            </w:tcBorders>
            <w:shd w:val="clear" w:color="auto" w:fill="auto"/>
            <w:vAlign w:val="center"/>
          </w:tcPr>
          <w:p w14:paraId="4F586D5E">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31.24</w:t>
            </w:r>
          </w:p>
        </w:tc>
        <w:tc>
          <w:tcPr>
            <w:tcW w:w="652" w:type="pct"/>
            <w:tcBorders>
              <w:top w:val="single" w:color="auto" w:sz="4" w:space="0"/>
              <w:left w:val="single" w:color="auto" w:sz="4" w:space="0"/>
              <w:bottom w:val="single" w:color="auto" w:sz="4" w:space="0"/>
              <w:right w:val="nil"/>
            </w:tcBorders>
            <w:shd w:val="clear" w:color="auto" w:fill="auto"/>
            <w:vAlign w:val="center"/>
          </w:tcPr>
          <w:p w14:paraId="511D9210">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12,455.24</w:t>
            </w:r>
          </w:p>
        </w:tc>
        <w:tc>
          <w:tcPr>
            <w:tcW w:w="1112" w:type="pct"/>
            <w:tcBorders>
              <w:top w:val="single" w:color="auto" w:sz="4" w:space="0"/>
              <w:left w:val="single" w:color="auto" w:sz="4" w:space="0"/>
              <w:bottom w:val="single" w:color="auto" w:sz="4" w:space="0"/>
              <w:right w:val="single" w:color="auto" w:sz="4" w:space="0"/>
            </w:tcBorders>
            <w:shd w:val="clear" w:color="auto" w:fill="auto"/>
            <w:vAlign w:val="center"/>
          </w:tcPr>
          <w:p w14:paraId="784D88D1">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位于湛江市东海岛民安镇西湾村五宗合计396，524.6平方米的土地使用权；</w:t>
            </w:r>
          </w:p>
          <w:p w14:paraId="3F4ED918">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位于徐闻县徐城镇城东小区(现春雷南路北三横巷1号)一幢三层别墅作为补充抵押物，其中土地总面积为502平方米、建筑面积为357.51平方米。</w:t>
            </w:r>
          </w:p>
        </w:tc>
        <w:tc>
          <w:tcPr>
            <w:tcW w:w="798" w:type="pct"/>
            <w:tcBorders>
              <w:top w:val="single" w:color="auto" w:sz="4" w:space="0"/>
              <w:left w:val="nil"/>
              <w:bottom w:val="single" w:color="auto" w:sz="4" w:space="0"/>
              <w:right w:val="single" w:color="auto" w:sz="4" w:space="0"/>
            </w:tcBorders>
            <w:shd w:val="clear" w:color="auto" w:fill="auto"/>
            <w:vAlign w:val="center"/>
          </w:tcPr>
          <w:p w14:paraId="6186D623">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湛江经济技术开发区德利船舶修造有限公司、广州市洪德利实业有限公司、湖南株洲钢铁有限公司、廖洪德、杨正煜、朱开甫、黄永华、杨明</w:t>
            </w:r>
          </w:p>
        </w:tc>
        <w:tc>
          <w:tcPr>
            <w:tcW w:w="425" w:type="pct"/>
            <w:tcBorders>
              <w:top w:val="single" w:color="auto" w:sz="4" w:space="0"/>
              <w:left w:val="nil"/>
              <w:bottom w:val="single" w:color="auto" w:sz="4" w:space="0"/>
              <w:right w:val="single" w:color="auto" w:sz="4" w:space="0"/>
            </w:tcBorders>
            <w:shd w:val="clear" w:color="auto" w:fill="auto"/>
            <w:vAlign w:val="center"/>
          </w:tcPr>
          <w:p w14:paraId="419668CC">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5FD9B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499" w:type="pct"/>
            <w:shd w:val="clear" w:color="auto" w:fill="FFFFFF"/>
            <w:vAlign w:val="center"/>
          </w:tcPr>
          <w:p w14:paraId="6B372B9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合计</w:t>
            </w:r>
          </w:p>
        </w:tc>
        <w:tc>
          <w:tcPr>
            <w:tcW w:w="537" w:type="pct"/>
            <w:tcBorders>
              <w:top w:val="single" w:color="auto" w:sz="4" w:space="0"/>
              <w:left w:val="nil"/>
              <w:bottom w:val="single" w:color="auto" w:sz="4" w:space="0"/>
              <w:right w:val="single" w:color="auto" w:sz="4" w:space="0"/>
            </w:tcBorders>
            <w:shd w:val="clear" w:color="auto" w:fill="auto"/>
            <w:vAlign w:val="center"/>
          </w:tcPr>
          <w:p w14:paraId="1FC2D53F">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31,375.99</w:t>
            </w:r>
          </w:p>
        </w:tc>
        <w:tc>
          <w:tcPr>
            <w:tcW w:w="550" w:type="pct"/>
            <w:tcBorders>
              <w:top w:val="single" w:color="auto" w:sz="4" w:space="0"/>
              <w:left w:val="single" w:color="auto" w:sz="4" w:space="0"/>
              <w:bottom w:val="single" w:color="auto" w:sz="4" w:space="0"/>
              <w:right w:val="single" w:color="auto" w:sz="4" w:space="0"/>
            </w:tcBorders>
            <w:shd w:val="clear" w:color="auto" w:fill="auto"/>
            <w:vAlign w:val="center"/>
          </w:tcPr>
          <w:p w14:paraId="493BF442">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53,034.46</w:t>
            </w:r>
          </w:p>
        </w:tc>
        <w:tc>
          <w:tcPr>
            <w:tcW w:w="423" w:type="pct"/>
            <w:tcBorders>
              <w:top w:val="single" w:color="auto" w:sz="4" w:space="0"/>
              <w:left w:val="single" w:color="auto" w:sz="4" w:space="0"/>
              <w:bottom w:val="single" w:color="auto" w:sz="4" w:space="0"/>
              <w:right w:val="nil"/>
            </w:tcBorders>
            <w:shd w:val="clear" w:color="auto" w:fill="auto"/>
            <w:vAlign w:val="center"/>
          </w:tcPr>
          <w:p w14:paraId="46859DF7">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328.23</w:t>
            </w:r>
          </w:p>
        </w:tc>
        <w:tc>
          <w:tcPr>
            <w:tcW w:w="652" w:type="pct"/>
            <w:tcBorders>
              <w:top w:val="single" w:color="auto" w:sz="4" w:space="0"/>
              <w:left w:val="single" w:color="auto" w:sz="4" w:space="0"/>
              <w:bottom w:val="single" w:color="auto" w:sz="4" w:space="0"/>
              <w:right w:val="nil"/>
            </w:tcBorders>
            <w:shd w:val="clear" w:color="auto" w:fill="auto"/>
            <w:vAlign w:val="center"/>
          </w:tcPr>
          <w:p w14:paraId="42376675">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bCs/>
                <w:kern w:val="0"/>
                <w:sz w:val="21"/>
                <w:szCs w:val="21"/>
                <w:highlight w:val="none"/>
                <w:lang w:eastAsia="zh-CN"/>
              </w:rPr>
              <w:t>847,38.68</w:t>
            </w:r>
          </w:p>
        </w:tc>
        <w:tc>
          <w:tcPr>
            <w:tcW w:w="1112" w:type="pct"/>
            <w:tcBorders>
              <w:top w:val="single" w:color="auto" w:sz="4" w:space="0"/>
              <w:left w:val="single" w:color="auto" w:sz="4" w:space="0"/>
              <w:bottom w:val="single" w:color="auto" w:sz="4" w:space="0"/>
              <w:right w:val="single" w:color="auto" w:sz="4" w:space="0"/>
            </w:tcBorders>
            <w:shd w:val="clear" w:color="auto" w:fill="auto"/>
            <w:vAlign w:val="center"/>
          </w:tcPr>
          <w:p w14:paraId="6D0EB513">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c>
          <w:tcPr>
            <w:tcW w:w="798" w:type="pct"/>
            <w:tcBorders>
              <w:top w:val="single" w:color="auto" w:sz="4" w:space="0"/>
              <w:left w:val="nil"/>
              <w:bottom w:val="single" w:color="auto" w:sz="4" w:space="0"/>
              <w:right w:val="single" w:color="auto" w:sz="4" w:space="0"/>
            </w:tcBorders>
            <w:shd w:val="clear" w:color="auto" w:fill="auto"/>
            <w:vAlign w:val="center"/>
          </w:tcPr>
          <w:p w14:paraId="6ACB7ABF">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c>
          <w:tcPr>
            <w:tcW w:w="425" w:type="pct"/>
            <w:tcBorders>
              <w:top w:val="single" w:color="auto" w:sz="4" w:space="0"/>
              <w:left w:val="nil"/>
              <w:bottom w:val="single" w:color="auto" w:sz="4" w:space="0"/>
              <w:right w:val="single" w:color="auto" w:sz="4" w:space="0"/>
            </w:tcBorders>
            <w:shd w:val="clear" w:color="auto" w:fill="auto"/>
            <w:vAlign w:val="center"/>
          </w:tcPr>
          <w:p w14:paraId="29306B0B">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r>
    </w:tbl>
    <w:p w14:paraId="23898751">
      <w:pPr>
        <w:spacing w:line="360" w:lineRule="auto"/>
        <w:ind w:firstLine="560" w:firstLineChars="200"/>
        <w:rPr>
          <w:rFonts w:hint="eastAsia" w:ascii="仿宋" w:hAnsi="仿宋" w:eastAsia="仿宋"/>
          <w:sz w:val="28"/>
          <w:szCs w:val="24"/>
        </w:rPr>
      </w:pPr>
    </w:p>
    <w:p w14:paraId="059793A6">
      <w:pPr>
        <w:rPr>
          <w:rFonts w:hint="eastAsia" w:ascii="黑体" w:hAnsi="黑体" w:eastAsia="黑体"/>
          <w:sz w:val="32"/>
          <w:szCs w:val="32"/>
        </w:rPr>
      </w:pPr>
      <w:r>
        <w:rPr>
          <w:rFonts w:hint="eastAsia" w:ascii="黑体" w:hAnsi="黑体" w:eastAsia="黑体"/>
          <w:sz w:val="32"/>
          <w:szCs w:val="32"/>
        </w:rPr>
        <w:t>二、资产介绍</w:t>
      </w:r>
    </w:p>
    <w:p w14:paraId="210E08FC">
      <w:pPr>
        <w:pStyle w:val="10"/>
        <w:widowControl/>
        <w:spacing w:line="360" w:lineRule="atLeast"/>
        <w:ind w:firstLine="560" w:firstLineChars="200"/>
        <w:rPr>
          <w:rFonts w:hint="eastAsia" w:ascii="仿宋_GB2312" w:hAnsi="仿宋" w:eastAsia="仿宋_GB2312" w:cs="仿宋"/>
          <w:b/>
          <w:bCs/>
          <w:color w:val="000000"/>
          <w:sz w:val="28"/>
          <w:szCs w:val="28"/>
          <w:lang w:eastAsia="zh-CN"/>
        </w:rPr>
      </w:pPr>
      <w:r>
        <w:rPr>
          <w:rFonts w:hint="eastAsia" w:ascii="仿宋_GB2312" w:hAnsi="仿宋" w:eastAsia="仿宋_GB2312" w:cs="仿宋"/>
          <w:color w:val="000000"/>
          <w:sz w:val="28"/>
          <w:szCs w:val="28"/>
        </w:rPr>
        <w:t>上述债权具体情况如下：</w:t>
      </w:r>
      <w:r>
        <w:rPr>
          <w:rFonts w:hint="eastAsia" w:ascii="仿宋_GB2312" w:hAnsi="仿宋" w:eastAsia="仿宋_GB2312" w:cs="仿宋"/>
          <w:b w:val="0"/>
          <w:bCs w:val="0"/>
          <w:color w:val="000000"/>
          <w:sz w:val="28"/>
          <w:szCs w:val="28"/>
        </w:rPr>
        <w:t>1．</w:t>
      </w:r>
      <w:r>
        <w:rPr>
          <w:rFonts w:hint="eastAsia" w:ascii="仿宋_GB2312" w:hAnsi="仿宋" w:eastAsia="仿宋_GB2312" w:cs="仿宋"/>
          <w:color w:val="000000"/>
          <w:sz w:val="28"/>
          <w:szCs w:val="28"/>
        </w:rPr>
        <w:t>抵押物湛江市东海岛民安镇西湾村</w:t>
      </w:r>
      <w:r>
        <w:rPr>
          <w:rFonts w:hint="eastAsia" w:ascii="仿宋_GB2312" w:hAnsi="仿宋" w:eastAsia="仿宋_GB2312" w:cs="仿宋"/>
          <w:color w:val="000000"/>
          <w:sz w:val="28"/>
          <w:szCs w:val="28"/>
          <w:lang w:val="en-US" w:eastAsia="zh-CN"/>
        </w:rPr>
        <w:t>26</w:t>
      </w:r>
      <w:r>
        <w:rPr>
          <w:rFonts w:hint="eastAsia" w:ascii="仿宋_GB2312" w:hAnsi="仿宋" w:eastAsia="仿宋_GB2312" w:cs="仿宋"/>
          <w:color w:val="000000"/>
          <w:sz w:val="28"/>
          <w:szCs w:val="28"/>
        </w:rPr>
        <w:t>宗土地</w:t>
      </w:r>
      <w:r>
        <w:rPr>
          <w:rFonts w:hint="eastAsia" w:ascii="仿宋_GB2312" w:hAnsi="仿宋" w:eastAsia="仿宋_GB2312" w:cs="仿宋"/>
          <w:color w:val="000000"/>
          <w:sz w:val="28"/>
          <w:szCs w:val="28"/>
          <w:lang w:eastAsia="zh-CN"/>
        </w:rPr>
        <w:t>，土地面积【2</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108</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125.80㎡】，权属人为湛江市云广贸易有限公司，土地证载用途为工业用地，土地使用期限至2056年5月9日。抵押物地处东海岛西南角，位于S50东雷高速和667县道北侧，距离铁路东海岛站约25公里，距离东海岛湛江巴斯夫项目约28公里。</w:t>
      </w:r>
    </w:p>
    <w:p w14:paraId="60E3EBD7">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val="en-US" w:eastAsia="zh-CN"/>
        </w:rPr>
        <w:t>抵押物</w:t>
      </w:r>
      <w:r>
        <w:rPr>
          <w:rFonts w:hint="eastAsia" w:ascii="仿宋_GB2312" w:hAnsi="仿宋" w:eastAsia="仿宋_GB2312" w:cs="仿宋"/>
          <w:b w:val="0"/>
          <w:bCs w:val="0"/>
          <w:color w:val="000000"/>
          <w:sz w:val="28"/>
          <w:szCs w:val="28"/>
        </w:rPr>
        <w:t>位于东海岛，系湛江市经济技术开发区的重要组成部分，具备推动“平急两用”公共基础设施建设的潜力</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情况如下：</w:t>
      </w:r>
    </w:p>
    <w:p w14:paraId="56CEBDF5">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1</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项目所在地具备“平急两用”政策支持</w:t>
      </w:r>
    </w:p>
    <w:p w14:paraId="6B4C70D2">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湛江市被列为粤西唯一国家“平急两用”公共基础设施试点城市，市委工作会议强调要加快“平急两用”项目建设，提升城市应急保障能力。</w:t>
      </w:r>
    </w:p>
    <w:p w14:paraId="437DC431">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2</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项目所在地具备“平急两用”基础设施条件</w:t>
      </w:r>
    </w:p>
    <w:p w14:paraId="35138C60">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东海岛已规划建设广湛高铁湛江段，交通互联互通水平提升，为应急疏散和物资运输提供便利。港区规划（如东海岛港区）具备物流仓储功能，可转化为应急物资储备中心。</w:t>
      </w:r>
    </w:p>
    <w:p w14:paraId="7139EEAD">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3</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项目所在地具有“平急两用”产业与空间布局优势</w:t>
      </w:r>
    </w:p>
    <w:p w14:paraId="083A24F3">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东海岛定位为现代化工业新城，拥有产业集聚优势，部分工业设施（如仓储、物流园区）可改造为应急生产或物资调配中心。国土空间规划（2021—2035年）强调生态保护与可持续发展，预留的绿地、防护空间可用于应急避难场所。</w:t>
      </w:r>
    </w:p>
    <w:p w14:paraId="45E63115">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b w:val="0"/>
          <w:bCs w:val="0"/>
          <w:color w:val="000000"/>
          <w:sz w:val="28"/>
          <w:szCs w:val="28"/>
        </w:rPr>
        <w:t>2．广东省徐闻县徐闻镇城东小区</w:t>
      </w:r>
      <w:r>
        <w:rPr>
          <w:rFonts w:hint="eastAsia" w:ascii="仿宋_GB2312" w:hAnsi="仿宋" w:eastAsia="仿宋_GB2312" w:cs="仿宋"/>
          <w:b w:val="0"/>
          <w:bCs w:val="0"/>
          <w:color w:val="000000"/>
          <w:sz w:val="28"/>
          <w:szCs w:val="28"/>
          <w:lang w:eastAsia="zh-CN"/>
        </w:rPr>
        <w:t>，土地自用面积为242</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，建筑面积为357.51</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抵押物</w:t>
      </w:r>
      <w:r>
        <w:rPr>
          <w:rFonts w:hint="eastAsia" w:ascii="仿宋_GB2312" w:hAnsi="仿宋" w:eastAsia="仿宋_GB2312" w:cs="仿宋"/>
          <w:b w:val="0"/>
          <w:bCs w:val="0"/>
          <w:color w:val="000000"/>
          <w:sz w:val="28"/>
          <w:szCs w:val="28"/>
          <w:lang w:eastAsia="zh-CN"/>
        </w:rPr>
        <w:t>距离徐闻县人民政府约1.5公里，距离徐闻县人民公园约1公里，距离徐闻中医院约700米。</w:t>
      </w:r>
    </w:p>
    <w:p w14:paraId="12B5296C">
      <w:pPr>
        <w:rPr>
          <w:rFonts w:ascii="仿宋" w:hAnsi="仿宋" w:eastAsia="仿宋" w:cs="Times New Roman"/>
          <w:bCs/>
          <w:kern w:val="0"/>
          <w:sz w:val="28"/>
          <w:szCs w:val="32"/>
        </w:rPr>
      </w:pPr>
    </w:p>
    <w:p w14:paraId="5B6DDFE9">
      <w:pPr>
        <w:pStyle w:val="10"/>
        <w:widowControl/>
        <w:spacing w:line="360" w:lineRule="atLeast"/>
        <w:ind w:firstLine="0" w:firstLineChars="0"/>
        <w:rPr>
          <w:rFonts w:ascii="黑体" w:hAnsi="黑体" w:eastAsia="黑体" w:cstheme="minorBidi"/>
          <w:sz w:val="32"/>
          <w:szCs w:val="32"/>
        </w:rPr>
      </w:pPr>
      <w:r>
        <w:rPr>
          <w:rFonts w:hint="eastAsia" w:ascii="黑体" w:hAnsi="黑体" w:eastAsia="黑体" w:cstheme="minorBidi"/>
          <w:sz w:val="32"/>
          <w:szCs w:val="32"/>
        </w:rPr>
        <w:t>三、主要抵押物及周边照片</w:t>
      </w: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6"/>
        <w:gridCol w:w="4656"/>
      </w:tblGrid>
      <w:tr w14:paraId="5556C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4D11DFB0">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1、</w:t>
            </w:r>
            <w:r>
              <w:rPr>
                <w:rFonts w:hint="eastAsia" w:ascii="仿宋" w:hAnsi="仿宋" w:eastAsia="仿宋" w:cs="Times New Roman"/>
                <w:kern w:val="0"/>
                <w:sz w:val="28"/>
                <w:szCs w:val="32"/>
              </w:rPr>
              <w:t>湛江市东海岛民安镇西湾村26宗土地</w:t>
            </w:r>
            <w:r>
              <w:rPr>
                <w:rFonts w:hint="eastAsia" w:ascii="仿宋" w:hAnsi="仿宋" w:eastAsia="仿宋" w:cs="Times New Roman"/>
                <w:kern w:val="0"/>
                <w:sz w:val="28"/>
                <w:szCs w:val="32"/>
                <w:lang w:eastAsia="zh-CN"/>
              </w:rPr>
              <w:t>，</w:t>
            </w:r>
            <w:r>
              <w:rPr>
                <w:rFonts w:hint="eastAsia" w:ascii="仿宋_GB2312" w:hAnsi="仿宋" w:eastAsia="仿宋_GB2312" w:cs="仿宋"/>
                <w:color w:val="000000"/>
                <w:sz w:val="28"/>
                <w:szCs w:val="28"/>
                <w:lang w:eastAsia="zh-CN"/>
              </w:rPr>
              <w:t>土地面积【2</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108</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125.80㎡】</w:t>
            </w:r>
          </w:p>
        </w:tc>
      </w:tr>
      <w:tr w14:paraId="68DA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2402F6F2">
            <w:pPr>
              <w:rPr>
                <w:rFonts w:hint="eastAsia" w:ascii="仿宋" w:hAnsi="仿宋" w:eastAsia="仿宋" w:cs="Times New Roman"/>
                <w:kern w:val="0"/>
                <w:sz w:val="28"/>
                <w:szCs w:val="32"/>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drawing>
                <wp:inline distT="0" distB="0" distL="114300" distR="114300">
                  <wp:extent cx="5262880" cy="2817495"/>
                  <wp:effectExtent l="0" t="0" r="13970" b="1905"/>
                  <wp:docPr id="9" name="图片 9" descr="17526364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52636444026"/>
                          <pic:cNvPicPr>
                            <a:picLocks noChangeAspect="1"/>
                          </pic:cNvPicPr>
                        </pic:nvPicPr>
                        <pic:blipFill>
                          <a:blip r:embed="rId4"/>
                          <a:stretch>
                            <a:fillRect/>
                          </a:stretch>
                        </pic:blipFill>
                        <pic:spPr>
                          <a:xfrm>
                            <a:off x="0" y="0"/>
                            <a:ext cx="5262880" cy="2817495"/>
                          </a:xfrm>
                          <a:prstGeom prst="rect">
                            <a:avLst/>
                          </a:prstGeom>
                        </pic:spPr>
                      </pic:pic>
                    </a:graphicData>
                  </a:graphic>
                </wp:inline>
              </w:drawing>
            </w:r>
          </w:p>
        </w:tc>
      </w:tr>
      <w:tr w14:paraId="36F83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70CE0D56">
            <w:pPr>
              <w:rPr>
                <w:rFonts w:hint="eastAsia" w:ascii="仿宋" w:hAnsi="仿宋" w:eastAsia="仿宋" w:cs="Times New Roman"/>
                <w:kern w:val="0"/>
                <w:sz w:val="28"/>
                <w:szCs w:val="32"/>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drawing>
                <wp:inline distT="0" distB="0" distL="114300" distR="114300">
                  <wp:extent cx="5271770" cy="2726055"/>
                  <wp:effectExtent l="0" t="0" r="5080" b="17145"/>
                  <wp:docPr id="10" name="图片 10" descr="175263647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52636473304"/>
                          <pic:cNvPicPr>
                            <a:picLocks noChangeAspect="1"/>
                          </pic:cNvPicPr>
                        </pic:nvPicPr>
                        <pic:blipFill>
                          <a:blip r:embed="rId5"/>
                          <a:stretch>
                            <a:fillRect/>
                          </a:stretch>
                        </pic:blipFill>
                        <pic:spPr>
                          <a:xfrm>
                            <a:off x="0" y="0"/>
                            <a:ext cx="5271770" cy="2726055"/>
                          </a:xfrm>
                          <a:prstGeom prst="rect">
                            <a:avLst/>
                          </a:prstGeom>
                        </pic:spPr>
                      </pic:pic>
                    </a:graphicData>
                  </a:graphic>
                </wp:inline>
              </w:drawing>
            </w:r>
          </w:p>
        </w:tc>
      </w:tr>
      <w:tr w14:paraId="49841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0FFBF328">
            <w:pPr>
              <w:rPr>
                <w:rFonts w:hint="eastAsia" w:ascii="仿宋" w:hAnsi="仿宋" w:eastAsia="仿宋" w:cs="Times New Roman"/>
                <w:kern w:val="0"/>
                <w:sz w:val="28"/>
                <w:szCs w:val="32"/>
              </w:rPr>
            </w:pPr>
            <w:r>
              <w:rPr>
                <w:rFonts w:hint="eastAsia" w:ascii="仿宋" w:hAnsi="仿宋" w:eastAsia="仿宋"/>
                <w:sz w:val="32"/>
                <w:szCs w:val="32"/>
                <w:highlight w:val="none"/>
                <w:lang w:eastAsia="zh-CN"/>
              </w:rPr>
              <w:drawing>
                <wp:inline distT="0" distB="0" distL="114300" distR="114300">
                  <wp:extent cx="2804795" cy="1924685"/>
                  <wp:effectExtent l="0" t="0" r="14605" b="18415"/>
                  <wp:docPr id="18" name="图片 18" descr="微信图片_2025062415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50624152545"/>
                          <pic:cNvPicPr>
                            <a:picLocks noChangeAspect="1"/>
                          </pic:cNvPicPr>
                        </pic:nvPicPr>
                        <pic:blipFill>
                          <a:blip r:embed="rId6"/>
                          <a:stretch>
                            <a:fillRect/>
                          </a:stretch>
                        </pic:blipFill>
                        <pic:spPr>
                          <a:xfrm>
                            <a:off x="0" y="0"/>
                            <a:ext cx="2804795" cy="1924685"/>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01834F84">
            <w:pPr>
              <w:rPr>
                <w:rFonts w:hint="eastAsia" w:ascii="仿宋" w:hAnsi="仿宋" w:eastAsia="仿宋" w:cs="Times New Roman"/>
                <w:kern w:val="0"/>
                <w:sz w:val="28"/>
                <w:szCs w:val="32"/>
              </w:rPr>
            </w:pPr>
            <w:r>
              <w:rPr>
                <w:rFonts w:hint="eastAsia" w:ascii="仿宋" w:hAnsi="仿宋" w:eastAsia="仿宋"/>
                <w:sz w:val="32"/>
                <w:szCs w:val="32"/>
                <w:highlight w:val="none"/>
                <w:lang w:eastAsia="zh-CN"/>
              </w:rPr>
              <w:drawing>
                <wp:inline distT="0" distB="0" distL="114300" distR="114300">
                  <wp:extent cx="2795905" cy="1924685"/>
                  <wp:effectExtent l="0" t="0" r="4445" b="18415"/>
                  <wp:docPr id="27" name="图片 27" descr="微信图片_2025062415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50624152610"/>
                          <pic:cNvPicPr>
                            <a:picLocks noChangeAspect="1"/>
                          </pic:cNvPicPr>
                        </pic:nvPicPr>
                        <pic:blipFill>
                          <a:blip r:embed="rId7"/>
                          <a:stretch>
                            <a:fillRect/>
                          </a:stretch>
                        </pic:blipFill>
                        <pic:spPr>
                          <a:xfrm>
                            <a:off x="0" y="0"/>
                            <a:ext cx="2795905" cy="1924685"/>
                          </a:xfrm>
                          <a:prstGeom prst="rect">
                            <a:avLst/>
                          </a:prstGeom>
                        </pic:spPr>
                      </pic:pic>
                    </a:graphicData>
                  </a:graphic>
                </wp:inline>
              </w:drawing>
            </w:r>
          </w:p>
        </w:tc>
      </w:tr>
      <w:tr w14:paraId="6597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17FB9650">
            <w:pP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2816225" cy="2112010"/>
                  <wp:effectExtent l="0" t="0" r="3175" b="2540"/>
                  <wp:docPr id="1" name="图片 1"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
                          <pic:cNvPicPr>
                            <a:picLocks noChangeAspect="1"/>
                          </pic:cNvPicPr>
                        </pic:nvPicPr>
                        <pic:blipFill>
                          <a:blip r:embed="rId8"/>
                          <a:stretch>
                            <a:fillRect/>
                          </a:stretch>
                        </pic:blipFill>
                        <pic:spPr>
                          <a:xfrm>
                            <a:off x="0" y="0"/>
                            <a:ext cx="2816225" cy="2112010"/>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2B4BECE7">
            <w:pP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2807335" cy="2096770"/>
                  <wp:effectExtent l="0" t="0" r="12065" b="17780"/>
                  <wp:docPr id="2" name="图片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
                          <pic:cNvPicPr>
                            <a:picLocks noChangeAspect="1"/>
                          </pic:cNvPicPr>
                        </pic:nvPicPr>
                        <pic:blipFill>
                          <a:blip r:embed="rId9"/>
                          <a:stretch>
                            <a:fillRect/>
                          </a:stretch>
                        </pic:blipFill>
                        <pic:spPr>
                          <a:xfrm>
                            <a:off x="0" y="0"/>
                            <a:ext cx="2807335" cy="2096770"/>
                          </a:xfrm>
                          <a:prstGeom prst="rect">
                            <a:avLst/>
                          </a:prstGeom>
                        </pic:spPr>
                      </pic:pic>
                    </a:graphicData>
                  </a:graphic>
                </wp:inline>
              </w:drawing>
            </w:r>
          </w:p>
        </w:tc>
      </w:tr>
    </w:tbl>
    <w:p w14:paraId="632B191B">
      <w:pPr>
        <w:rPr>
          <w:rFonts w:hint="eastAsia" w:ascii="仿宋" w:hAnsi="仿宋" w:eastAsia="仿宋" w:cs="Times New Roman"/>
          <w:bCs/>
          <w:kern w:val="0"/>
          <w:sz w:val="28"/>
          <w:szCs w:val="32"/>
        </w:rPr>
      </w:pPr>
    </w:p>
    <w:p w14:paraId="2F815000">
      <w:pPr>
        <w:pStyle w:val="10"/>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15</w:t>
      </w:r>
      <w:r>
        <w:rPr>
          <w:rFonts w:hint="eastAsia" w:ascii="仿宋_GB2312" w:hAnsi="仿宋" w:eastAsia="仿宋_GB2312" w:cs="仿宋"/>
          <w:color w:val="000000"/>
          <w:sz w:val="28"/>
          <w:szCs w:val="28"/>
        </w:rPr>
        <w:t>】的债权本金，债务人和担保人应支付给我司的利息、罚息、复利、违约金及其它应付款，按借款合同、担保合同及中国人民银行的有关规定或生效法律文书确定的方法计算；</w:t>
      </w:r>
    </w:p>
    <w:p w14:paraId="0EE6D8AF">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33E3C0E"/>
    <w:rsid w:val="3C377FE9"/>
    <w:rsid w:val="592D0B22"/>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黑体"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宋体"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1"/>
    <w:unhideWhenUsed/>
    <w:qFormat/>
    <w:uiPriority w:val="0"/>
    <w:pPr>
      <w:jc w:val="left"/>
    </w:pPr>
  </w:style>
  <w:style w:type="paragraph" w:styleId="7">
    <w:name w:val="Balloon Text"/>
    <w:basedOn w:val="1"/>
    <w:link w:val="23"/>
    <w:unhideWhenUsed/>
    <w:qFormat/>
    <w:uiPriority w:val="0"/>
    <w:rPr>
      <w:sz w:val="18"/>
      <w:szCs w:val="18"/>
    </w:rPr>
  </w:style>
  <w:style w:type="paragraph" w:styleId="8">
    <w:name w:val="footer"/>
    <w:basedOn w:val="1"/>
    <w:link w:val="19"/>
    <w:unhideWhenUsed/>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paragraph" w:styleId="11">
    <w:name w:val="annotation subject"/>
    <w:basedOn w:val="6"/>
    <w:next w:val="6"/>
    <w:link w:val="22"/>
    <w:unhideWhenUsed/>
    <w:qFormat/>
    <w:uiPriority w:val="0"/>
    <w:rPr>
      <w:b/>
      <w:bCs/>
    </w:rPr>
  </w:style>
  <w:style w:type="table" w:styleId="13">
    <w:name w:val="Table Grid"/>
    <w:basedOn w:val="12"/>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99"/>
    <w:rPr>
      <w:color w:val="800080"/>
      <w:u w:val="single"/>
    </w:rPr>
  </w:style>
  <w:style w:type="character" w:styleId="16">
    <w:name w:val="Hyperlink"/>
    <w:basedOn w:val="14"/>
    <w:semiHidden/>
    <w:unhideWhenUsed/>
    <w:qFormat/>
    <w:uiPriority w:val="99"/>
    <w:rPr>
      <w:color w:val="0000FF"/>
      <w:u w:val="single"/>
    </w:rPr>
  </w:style>
  <w:style w:type="character" w:styleId="17">
    <w:name w:val="annotation reference"/>
    <w:basedOn w:val="14"/>
    <w:unhideWhenUsed/>
    <w:qFormat/>
    <w:uiPriority w:val="0"/>
    <w:rPr>
      <w:sz w:val="21"/>
      <w:szCs w:val="21"/>
    </w:rPr>
  </w:style>
  <w:style w:type="character" w:customStyle="1" w:styleId="18">
    <w:name w:val="页眉 字符"/>
    <w:basedOn w:val="14"/>
    <w:link w:val="9"/>
    <w:qFormat/>
    <w:uiPriority w:val="99"/>
    <w:rPr>
      <w:sz w:val="18"/>
      <w:szCs w:val="18"/>
    </w:rPr>
  </w:style>
  <w:style w:type="character" w:customStyle="1" w:styleId="19">
    <w:name w:val="页脚 字符"/>
    <w:basedOn w:val="14"/>
    <w:link w:val="8"/>
    <w:qFormat/>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14"/>
    <w:link w:val="6"/>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14"/>
    <w:link w:val="7"/>
    <w:qFormat/>
    <w:uiPriority w:val="0"/>
    <w:rPr>
      <w:sz w:val="18"/>
      <w:szCs w:val="18"/>
    </w:rPr>
  </w:style>
  <w:style w:type="character" w:customStyle="1" w:styleId="24">
    <w:name w:val="标题 1 字符"/>
    <w:basedOn w:val="14"/>
    <w:link w:val="2"/>
    <w:qFormat/>
    <w:uiPriority w:val="0"/>
    <w:rPr>
      <w:rFonts w:ascii="Times New Roman" w:hAnsi="Times New Roman" w:eastAsia="宋体" w:cs="Times New Roman"/>
      <w:b/>
      <w:bCs/>
      <w:kern w:val="44"/>
      <w:sz w:val="44"/>
      <w:szCs w:val="44"/>
    </w:rPr>
  </w:style>
  <w:style w:type="character" w:customStyle="1" w:styleId="25">
    <w:name w:val="标题 2 字符"/>
    <w:basedOn w:val="14"/>
    <w:link w:val="3"/>
    <w:qFormat/>
    <w:uiPriority w:val="0"/>
    <w:rPr>
      <w:rFonts w:ascii="Arial" w:hAnsi="Arial" w:eastAsia="黑体" w:cs="Times New Roman"/>
      <w:b/>
      <w:kern w:val="2"/>
      <w:sz w:val="32"/>
      <w:szCs w:val="24"/>
    </w:rPr>
  </w:style>
  <w:style w:type="character" w:customStyle="1" w:styleId="26">
    <w:name w:val="标题 3 字符"/>
    <w:basedOn w:val="14"/>
    <w:link w:val="4"/>
    <w:qFormat/>
    <w:uiPriority w:val="0"/>
    <w:rPr>
      <w:rFonts w:ascii="Times New Roman" w:hAnsi="Times New Roman" w:eastAsia="宋体" w:cs="Times New Roman"/>
      <w:b/>
      <w:kern w:val="2"/>
      <w:sz w:val="32"/>
      <w:szCs w:val="24"/>
    </w:rPr>
  </w:style>
  <w:style w:type="character" w:customStyle="1" w:styleId="27">
    <w:name w:val="标题 4 字符"/>
    <w:basedOn w:val="14"/>
    <w:link w:val="5"/>
    <w:semiHidden/>
    <w:qFormat/>
    <w:uiPriority w:val="9"/>
    <w:rPr>
      <w:rFonts w:asciiTheme="majorHAnsi" w:hAnsiTheme="majorHAnsi" w:eastAsiaTheme="majorEastAsia" w:cstheme="majorBidi"/>
      <w:b/>
      <w:bCs/>
      <w:kern w:val="2"/>
      <w:sz w:val="28"/>
      <w:szCs w:val="28"/>
    </w:rPr>
  </w:style>
  <w:style w:type="table" w:customStyle="1" w:styleId="28">
    <w:name w:val="网格型6"/>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qFormat/>
    <w:uiPriority w:val="0"/>
    <w:pPr>
      <w:widowControl/>
      <w:spacing w:before="100" w:beforeAutospacing="1" w:after="100" w:afterAutospacing="1"/>
      <w:jc w:val="left"/>
    </w:pPr>
    <w:rPr>
      <w:rFonts w:ascii="仿宋" w:hAnsi="仿宋" w:eastAsia="仿宋" w:cs="宋体"/>
      <w:kern w:val="0"/>
      <w:sz w:val="18"/>
      <w:szCs w:val="18"/>
    </w:rPr>
  </w:style>
  <w:style w:type="paragraph" w:customStyle="1" w:styleId="33">
    <w:name w:val="xl69"/>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4">
    <w:name w:val="xl70"/>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5">
    <w:name w:val="xl71"/>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table" w:customStyle="1" w:styleId="43">
    <w:name w:val="Grid Table Light"/>
    <w:basedOn w:val="12"/>
    <w:qFormat/>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14"/>
    <w:link w:val="44"/>
    <w:qFormat/>
    <w:uiPriority w:val="0"/>
    <w:rPr>
      <w:rFonts w:ascii="仿宋_GB2312" w:hAnsi="Times New Roman" w:eastAsia="仿宋_GB2312" w:cs="Times New Roman"/>
      <w:sz w:val="21"/>
      <w:szCs w:val="21"/>
    </w:rPr>
  </w:style>
  <w:style w:type="table" w:customStyle="1" w:styleId="46">
    <w:name w:val="网格型浅色1"/>
    <w:basedOn w:val="12"/>
    <w:qFormat/>
    <w:uiPriority w:val="40"/>
    <w:rPr>
      <w:rFonts w:ascii="Times New Roman" w:hAnsi="Times New Roman" w:eastAsia="宋体"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5</Pages>
  <Words>1103</Words>
  <Characters>1309</Characters>
  <Lines>7</Lines>
  <Paragraphs>2</Paragraphs>
  <TotalTime>2</TotalTime>
  <ScaleCrop>false</ScaleCrop>
  <LinksUpToDate>false</LinksUpToDate>
  <CharactersWithSpaces>1322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2024-12-04T06:39:00Z</dcterms:created>
  <dc:creator>黄月琴</dc:creator>
  <cp:lastModifiedBy>Zhl</cp:lastModifiedBy>
  <cp:lastPrinted>2025-02-11T09:23:00Z</cp:lastPrinted>
  <dcterms:modified xsi:type="dcterms:W3CDTF">2025-10-13T01:41:41Z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742C725D436B4B439FC9D3F1A93B355E</vt:lpwstr>
  </property>
  <property fmtid="{D5CDD505-2E9C-101B-9397-08002B2CF9AE}" pid="4" name="KSOTemplateDocerSaveRecord">
    <vt:lpwstr>eyJoZGlkIjoiMzRkMzJiMGQ4YTM1OTNmNzg3Yjg0ODJiYzc3OGRkNzkiLCJ1c2VySWQiOiI0NDUxNzMzMDkifQ==</vt:lpwstr>
  </property>
</Properties>
</file>